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32"/>
        </w:rPr>
      </w:pPr>
      <w:r>
        <w:rPr>
          <w:sz w:val="32"/>
        </w:rPr>
        <w:t xml:space="preserve">Пояснительная записка 2020г. для ГВС детского сурдолога.</w:t>
      </w:r>
      <w:r>
        <w:rPr>
          <w:sz w:val="32"/>
        </w:rPr>
      </w:r>
    </w:p>
    <w:tbl>
      <w:tblPr>
        <w:tblStyle w:val="44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386"/>
        <w:gridCol w:w="992"/>
        <w:gridCol w:w="1134"/>
        <w:gridCol w:w="1242"/>
      </w:tblGrid>
      <w:tr>
        <w:trPr>
          <w:trHeight w:val="369"/>
        </w:trPr>
        <w:tc>
          <w:tcPr>
            <w:tcW w:w="81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Численность детского населения</w:t>
            </w:r>
            <w:r>
              <w:rPr>
                <w:sz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2018</w:t>
            </w:r>
            <w:r>
              <w:rPr>
                <w:sz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2019</w:t>
            </w:r>
            <w:r>
              <w:rPr>
                <w:sz w:val="28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2020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Всего до 18 лет</w:t>
            </w:r>
            <w:r>
              <w:rPr>
                <w:sz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Из них до 14 лет</w:t>
            </w:r>
            <w:r>
              <w:rPr>
                <w:sz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>
          <w:trHeight w:val="368"/>
        </w:trPr>
        <w:tc>
          <w:tcPr>
            <w:tcW w:w="81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До 1 года</w:t>
            </w:r>
            <w:r>
              <w:rPr>
                <w:sz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>
              <w:rPr>
                <w:sz w:val="28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Обследования слуха у новорожденных</w:t>
            </w:r>
            <w:r>
              <w:rPr>
                <w:sz w:val="28"/>
              </w:rPr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(УАС) роддом,детская консультация</w:t>
            </w:r>
            <w:r>
              <w:rPr>
                <w:sz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Выявлено отрицательных УАС</w:t>
            </w:r>
            <w:r>
              <w:rPr>
                <w:sz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Направлено к сурдологу</w:t>
            </w:r>
            <w:r>
              <w:rPr>
                <w:sz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Из них взято под наблюдение</w:t>
            </w:r>
            <w:r>
              <w:rPr>
                <w:sz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3</w:t>
            </w:r>
            <w:r>
              <w:rPr>
                <w:sz w:val="28"/>
              </w:rPr>
            </w:r>
          </w:p>
        </w:tc>
        <w:tc>
          <w:tcPr>
            <w:gridSpan w:val="4"/>
            <w:tcW w:w="8754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Число детей с нарушениями слуха,находящихся под динамическим наблюдением с тугоухостью.</w:t>
            </w:r>
            <w:r>
              <w:rPr>
                <w:sz w:val="28"/>
              </w:rPr>
            </w:r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5386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  <w:lang w:val="ru-RU"/>
              </w:rPr>
              <w:t xml:space="preserve">ст.</w:t>
            </w:r>
            <w:r>
              <w:rPr>
                <w:sz w:val="28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386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II </w:t>
            </w:r>
            <w:r>
              <w:rPr>
                <w:sz w:val="28"/>
                <w:lang w:val="ru-RU"/>
              </w:rPr>
              <w:t xml:space="preserve">ст.</w:t>
            </w:r>
            <w:r>
              <w:rPr>
                <w:sz w:val="28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386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III </w:t>
            </w:r>
            <w:r>
              <w:rPr>
                <w:sz w:val="28"/>
                <w:lang w:val="ru-RU"/>
              </w:rPr>
              <w:t xml:space="preserve">ст.</w:t>
            </w:r>
            <w:r>
              <w:rPr>
                <w:sz w:val="28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386" w:type="dxa"/>
            <w:vMerge w:val="restart"/>
            <w:textDirection w:val="lrTb"/>
            <w:noWrap w:val="false"/>
          </w:tcPr>
          <w:p>
            <w:pPr>
              <w:rPr>
                <w:sz w:val="28"/>
                <w:lang w:val="en-US"/>
              </w:rPr>
            </w:pPr>
            <w:r>
              <w:rPr>
                <w:sz w:val="28"/>
                <w:lang w:val="ru-RU"/>
              </w:rPr>
              <w:t xml:space="preserve">Глухота</w:t>
            </w:r>
            <w:r>
              <w:rPr>
                <w:sz w:val="28"/>
                <w:lang w:val="en-US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</w:t>
            </w:r>
            <w:r>
              <w:rPr>
                <w:sz w:val="28"/>
              </w:rPr>
            </w:r>
          </w:p>
        </w:tc>
        <w:tc>
          <w:tcPr>
            <w:tcW w:w="5386" w:type="dxa"/>
            <w:vMerge w:val="restart"/>
            <w:textDirection w:val="lrTb"/>
            <w:noWrap w:val="false"/>
          </w:tcPr>
          <w:p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детей, прошедших слухоречевую реабилитацию</w:t>
            </w:r>
            <w:r>
              <w:rPr>
                <w:sz w:val="28"/>
              </w:rPr>
            </w:r>
          </w:p>
          <w:p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Всего (за пределами РК, сурдокабинет</w:t>
            </w:r>
            <w:r>
              <w:rPr>
                <w:sz w:val="28"/>
                <w:lang w:val="ru-RU"/>
              </w:rPr>
            </w:r>
          </w:p>
          <w:p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логопедические занятия)</w:t>
            </w:r>
            <w:r>
              <w:rPr>
                <w:sz w:val="28"/>
                <w:lang w:val="ru-RU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5</w:t>
            </w:r>
            <w:r>
              <w:rPr>
                <w:sz w:val="28"/>
              </w:rPr>
            </w:r>
          </w:p>
        </w:tc>
        <w:tc>
          <w:tcPr>
            <w:tcW w:w="5386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Число детей, нуждающих в проведении кохлеарной имплантации.</w:t>
            </w:r>
            <w:r>
              <w:rPr>
                <w:sz w:val="28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6</w:t>
            </w:r>
            <w:r>
              <w:rPr>
                <w:sz w:val="28"/>
              </w:rPr>
            </w:r>
          </w:p>
        </w:tc>
        <w:tc>
          <w:tcPr>
            <w:tcW w:w="5386" w:type="dxa"/>
            <w:vMerge w:val="restart"/>
            <w:textDirection w:val="lrTb"/>
            <w:noWrap w:val="false"/>
          </w:tcPr>
          <w:p>
            <w:pPr>
              <w:rPr>
                <w:sz w:val="28"/>
                <w:lang w:val="en-US"/>
              </w:rPr>
            </w:pPr>
            <w:r>
              <w:rPr>
                <w:sz w:val="28"/>
                <w:lang w:val="ru-RU"/>
              </w:rPr>
              <w:t xml:space="preserve">Число детей, которым проведена КИ в текущем году.</w:t>
            </w:r>
            <w:r>
              <w:rPr>
                <w:sz w:val="28"/>
                <w:lang w:val="en-US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7</w:t>
            </w:r>
            <w:r>
              <w:rPr>
                <w:sz w:val="28"/>
              </w:rPr>
            </w:r>
          </w:p>
        </w:tc>
        <w:tc>
          <w:tcPr>
            <w:tcW w:w="5386" w:type="dxa"/>
            <w:vMerge w:val="restart"/>
            <w:textDirection w:val="lrTb"/>
            <w:noWrap w:val="false"/>
          </w:tcPr>
          <w:p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детей, направленных за пределы РК для проведения слухоулучшающих операций.</w:t>
            </w:r>
            <w:r>
              <w:rPr>
                <w:sz w:val="28"/>
              </w:rPr>
            </w:r>
          </w:p>
          <w:p>
            <w:pPr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(тимпанопластики, шунтирование барабанной перепонки, санирующей операции на ушах)</w:t>
            </w:r>
            <w:r>
              <w:rPr>
                <w:sz w:val="28"/>
                <w:lang w:val="ru-RU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  <w:tc>
          <w:tcPr>
            <w:tcW w:w="1242" w:type="dxa"/>
            <w:vMerge w:val="restart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</w:rPr>
            </w:r>
            <w:r>
              <w:rPr>
                <w:sz w:val="32"/>
              </w:rPr>
            </w:r>
          </w:p>
        </w:tc>
      </w:tr>
    </w:tbl>
    <w:p>
      <w:pPr>
        <w:rPr>
          <w:sz w:val="32"/>
        </w:rPr>
      </w:pPr>
      <w:r>
        <w:rPr>
          <w:sz w:val="32"/>
        </w:rPr>
      </w:r>
      <w:r>
        <w:rPr>
          <w:sz w:val="32"/>
        </w:rPr>
      </w:r>
    </w:p>
    <w:p>
      <w:pPr>
        <w:rPr>
          <w:sz w:val="28"/>
        </w:rPr>
      </w:pPr>
      <w:r>
        <w:rPr>
          <w:sz w:val="28"/>
        </w:rPr>
        <w:t xml:space="preserve">Число детей - инвалидов.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Число детей, нуждающих в кохлеарной имплантации.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Число детей, которым проведена кохлеарная имплантация.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Общее число детей со снижением слуха.</w:t>
      </w:r>
      <w:r>
        <w:rPr>
          <w:sz w:val="28"/>
        </w:rPr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Телефон 8 (8212) 72-12-80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Адрес электронной почты </w:t>
      </w:r>
      <w:r>
        <w:rPr>
          <w:sz w:val="28"/>
          <w:lang w:val="en-US"/>
        </w:rPr>
        <w:t xml:space="preserve">e.tyukina@gmail.com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rPr>
          <w:sz w:val="32"/>
        </w:rPr>
      </w:pPr>
      <w:r>
        <w:rPr>
          <w:sz w:val="32"/>
        </w:rPr>
      </w:r>
      <w:r>
        <w:rPr>
          <w:sz w:val="32"/>
        </w:rPr>
      </w:r>
    </w:p>
    <w:p>
      <w:pPr>
        <w:rPr>
          <w:sz w:val="32"/>
        </w:rPr>
      </w:pPr>
      <w:r>
        <w:rPr>
          <w:sz w:val="32"/>
        </w:rPr>
      </w:r>
      <w:r>
        <w:rPr>
          <w:sz w:val="32"/>
        </w:rPr>
      </w:r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7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7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86"/>
    <w:uiPriority w:val="10"/>
    <w:rPr>
      <w:sz w:val="48"/>
      <w:szCs w:val="48"/>
    </w:rPr>
  </w:style>
  <w:style w:type="character" w:styleId="35">
    <w:name w:val="Subtitle Char"/>
    <w:basedOn w:val="9"/>
    <w:link w:val="384"/>
    <w:uiPriority w:val="11"/>
    <w:rPr>
      <w:sz w:val="24"/>
      <w:szCs w:val="24"/>
    </w:rPr>
  </w:style>
  <w:style w:type="character" w:styleId="37">
    <w:name w:val="Quote Char"/>
    <w:link w:val="383"/>
    <w:uiPriority w:val="29"/>
    <w:rPr>
      <w:i/>
    </w:rPr>
  </w:style>
  <w:style w:type="character" w:styleId="39">
    <w:name w:val="Intense Quote Char"/>
    <w:link w:val="385"/>
    <w:uiPriority w:val="30"/>
    <w:rPr>
      <w:i/>
    </w:rPr>
  </w:style>
  <w:style w:type="character" w:styleId="41">
    <w:name w:val="Header Char"/>
    <w:basedOn w:val="9"/>
    <w:link w:val="381"/>
    <w:uiPriority w:val="99"/>
  </w:style>
  <w:style w:type="character" w:styleId="43">
    <w:name w:val="Footer Char"/>
    <w:basedOn w:val="9"/>
    <w:link w:val="380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paragraph" w:styleId="369">
    <w:name w:val="Heading 1"/>
    <w:basedOn w:val="368"/>
    <w:next w:val="36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0">
    <w:name w:val="Heading 2"/>
    <w:basedOn w:val="368"/>
    <w:next w:val="36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1">
    <w:name w:val="Heading 3"/>
    <w:basedOn w:val="368"/>
    <w:next w:val="36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2">
    <w:name w:val="Heading 4"/>
    <w:basedOn w:val="368"/>
    <w:next w:val="36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3">
    <w:name w:val="Heading 5"/>
    <w:basedOn w:val="368"/>
    <w:next w:val="36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4">
    <w:name w:val="Heading 6"/>
    <w:basedOn w:val="368"/>
    <w:next w:val="36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5">
    <w:name w:val="Heading 7"/>
    <w:basedOn w:val="368"/>
    <w:next w:val="36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76">
    <w:name w:val="Heading 8"/>
    <w:basedOn w:val="368"/>
    <w:next w:val="36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77">
    <w:name w:val="Heading 9"/>
    <w:basedOn w:val="368"/>
    <w:next w:val="36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Foot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1">
    <w:name w:val="Head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2">
    <w:name w:val="No Spacing"/>
    <w:basedOn w:val="368"/>
    <w:qFormat/>
    <w:uiPriority w:val="1"/>
    <w:pPr>
      <w:spacing w:lineRule="auto" w:line="240" w:after="0"/>
    </w:pPr>
  </w:style>
  <w:style w:type="paragraph" w:styleId="383">
    <w:name w:val="Quote"/>
    <w:basedOn w:val="368"/>
    <w:next w:val="36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4">
    <w:name w:val="Subtitle"/>
    <w:basedOn w:val="368"/>
    <w:next w:val="36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5">
    <w:name w:val="Intense Quote"/>
    <w:basedOn w:val="368"/>
    <w:next w:val="36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86">
    <w:name w:val="Title"/>
    <w:basedOn w:val="368"/>
    <w:next w:val="36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87">
    <w:name w:val="List Paragraph"/>
    <w:basedOn w:val="368"/>
    <w:qFormat/>
    <w:uiPriority w:val="34"/>
    <w:pPr>
      <w:contextualSpacing w:val="true"/>
      <w:ind w:left="720"/>
    </w:pPr>
  </w:style>
  <w:style w:type="character" w:styleId="39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2020-11-27T06:32:15Z</dcterms:modified>
</cp:coreProperties>
</file>